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B7B" w:rsidRPr="009A1B7B" w:rsidRDefault="009A1B7B" w:rsidP="009A1B7B">
      <w:pPr>
        <w:spacing w:line="360" w:lineRule="auto"/>
        <w:jc w:val="center"/>
        <w:rPr>
          <w:rFonts w:ascii="Times New Roman" w:hAnsi="Times New Roman" w:cs="Times New Roman"/>
          <w:b/>
          <w:bCs/>
          <w:sz w:val="36"/>
          <w:szCs w:val="36"/>
        </w:rPr>
      </w:pPr>
      <w:r w:rsidRPr="009A1B7B">
        <w:rPr>
          <w:rFonts w:ascii="Times New Roman" w:hAnsi="Times New Roman" w:cs="Times New Roman"/>
          <w:b/>
          <w:bCs/>
          <w:sz w:val="36"/>
          <w:szCs w:val="36"/>
        </w:rPr>
        <w:t>INNBYDELSE</w:t>
      </w:r>
    </w:p>
    <w:p w:rsidR="009A1B7B" w:rsidRDefault="009A1B7B" w:rsidP="009A1B7B">
      <w:pPr>
        <w:spacing w:line="360" w:lineRule="auto"/>
        <w:jc w:val="center"/>
        <w:rPr>
          <w:rFonts w:ascii="Times New Roman" w:hAnsi="Times New Roman" w:cs="Times New Roman"/>
          <w:sz w:val="28"/>
          <w:szCs w:val="28"/>
        </w:rPr>
      </w:pPr>
      <w:r w:rsidRPr="009A1B7B">
        <w:rPr>
          <w:rFonts w:ascii="Times New Roman" w:hAnsi="Times New Roman" w:cs="Times New Roman"/>
          <w:sz w:val="28"/>
          <w:szCs w:val="28"/>
        </w:rPr>
        <w:t xml:space="preserve">Rogaland politiidrettslag har gleden av å invitere til </w:t>
      </w:r>
    </w:p>
    <w:p w:rsidR="009A1B7B" w:rsidRPr="009A1B7B" w:rsidRDefault="009A1B7B" w:rsidP="009A1B7B">
      <w:pPr>
        <w:spacing w:line="360" w:lineRule="auto"/>
        <w:jc w:val="center"/>
        <w:rPr>
          <w:rFonts w:ascii="Times New Roman" w:hAnsi="Times New Roman" w:cs="Times New Roman"/>
          <w:b/>
          <w:bCs/>
          <w:sz w:val="28"/>
          <w:szCs w:val="28"/>
        </w:rPr>
      </w:pPr>
      <w:r w:rsidRPr="009A1B7B">
        <w:rPr>
          <w:rFonts w:ascii="Times New Roman" w:hAnsi="Times New Roman" w:cs="Times New Roman"/>
          <w:b/>
          <w:bCs/>
          <w:sz w:val="28"/>
          <w:szCs w:val="28"/>
        </w:rPr>
        <w:t>POLITIMESTERSKAP I INNEBANDY</w:t>
      </w:r>
    </w:p>
    <w:p w:rsidR="009A1B7B" w:rsidRDefault="009A1B7B" w:rsidP="009A1B7B">
      <w:pPr>
        <w:spacing w:line="360" w:lineRule="auto"/>
        <w:jc w:val="center"/>
        <w:rPr>
          <w:rFonts w:ascii="Times New Roman" w:hAnsi="Times New Roman" w:cs="Times New Roman"/>
          <w:sz w:val="28"/>
          <w:szCs w:val="28"/>
        </w:rPr>
      </w:pPr>
      <w:r>
        <w:rPr>
          <w:rFonts w:ascii="Times New Roman" w:hAnsi="Times New Roman" w:cs="Times New Roman"/>
          <w:sz w:val="28"/>
          <w:szCs w:val="28"/>
        </w:rPr>
        <w:t>Sør-Vest politidistrikt, Stavanger. 14 og 15. november 2023</w:t>
      </w:r>
    </w:p>
    <w:p w:rsidR="009A1B7B" w:rsidRDefault="009A1B7B" w:rsidP="009A1B7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Klasser – </w:t>
      </w:r>
      <w:proofErr w:type="spellStart"/>
      <w:r>
        <w:rPr>
          <w:rFonts w:ascii="Times New Roman" w:hAnsi="Times New Roman" w:cs="Times New Roman"/>
          <w:sz w:val="28"/>
          <w:szCs w:val="28"/>
        </w:rPr>
        <w:t>Mix</w:t>
      </w:r>
      <w:proofErr w:type="spellEnd"/>
      <w:r>
        <w:rPr>
          <w:rFonts w:ascii="Times New Roman" w:hAnsi="Times New Roman" w:cs="Times New Roman"/>
          <w:sz w:val="28"/>
          <w:szCs w:val="28"/>
        </w:rPr>
        <w:t xml:space="preserve">. </w:t>
      </w:r>
    </w:p>
    <w:p w:rsidR="009A1B7B" w:rsidRDefault="009A1B7B" w:rsidP="009A1B7B">
      <w:pPr>
        <w:spacing w:line="360" w:lineRule="auto"/>
        <w:rPr>
          <w:rFonts w:ascii="Times New Roman" w:hAnsi="Times New Roman" w:cs="Times New Roman"/>
          <w:sz w:val="28"/>
          <w:szCs w:val="28"/>
        </w:rPr>
      </w:pPr>
    </w:p>
    <w:p w:rsidR="009A1B7B" w:rsidRDefault="009A1B7B" w:rsidP="009A1B7B">
      <w:pPr>
        <w:spacing w:line="360" w:lineRule="auto"/>
        <w:rPr>
          <w:rFonts w:ascii="Times New Roman" w:hAnsi="Times New Roman" w:cs="Times New Roman"/>
          <w:b/>
          <w:bCs/>
          <w:sz w:val="28"/>
          <w:szCs w:val="28"/>
        </w:rPr>
      </w:pPr>
      <w:r w:rsidRPr="009A1B7B">
        <w:rPr>
          <w:rFonts w:ascii="Times New Roman" w:hAnsi="Times New Roman" w:cs="Times New Roman"/>
          <w:b/>
          <w:bCs/>
          <w:sz w:val="28"/>
          <w:szCs w:val="28"/>
        </w:rPr>
        <w:t xml:space="preserve">INNEBANDY: </w:t>
      </w:r>
    </w:p>
    <w:p w:rsidR="009A1B7B" w:rsidRPr="00047CF2" w:rsidRDefault="00D44AF2" w:rsidP="009A1B7B">
      <w:pPr>
        <w:spacing w:line="360" w:lineRule="auto"/>
        <w:rPr>
          <w:rFonts w:ascii="Times New Roman" w:hAnsi="Times New Roman" w:cs="Times New Roman"/>
        </w:rPr>
      </w:pPr>
      <w:r w:rsidRPr="00047CF2">
        <w:rPr>
          <w:rFonts w:ascii="Times New Roman" w:hAnsi="Times New Roman" w:cs="Times New Roman"/>
        </w:rPr>
        <w:t xml:space="preserve">Hele turneringen vil være i </w:t>
      </w:r>
      <w:proofErr w:type="spellStart"/>
      <w:r w:rsidRPr="00047CF2">
        <w:rPr>
          <w:rFonts w:ascii="Times New Roman" w:hAnsi="Times New Roman" w:cs="Times New Roman"/>
        </w:rPr>
        <w:t>mixklasse</w:t>
      </w:r>
      <w:proofErr w:type="spellEnd"/>
      <w:r w:rsidRPr="00047CF2">
        <w:rPr>
          <w:rFonts w:ascii="Times New Roman" w:hAnsi="Times New Roman" w:cs="Times New Roman"/>
        </w:rPr>
        <w:t xml:space="preserve">, </w:t>
      </w:r>
      <w:r w:rsidR="009A1B7B" w:rsidRPr="00047CF2">
        <w:rPr>
          <w:rFonts w:ascii="Times New Roman" w:hAnsi="Times New Roman" w:cs="Times New Roman"/>
        </w:rPr>
        <w:t xml:space="preserve">det vil si at det må være minst to kvinner på banen til enhver tid. </w:t>
      </w:r>
      <w:r w:rsidRPr="00047CF2">
        <w:rPr>
          <w:rFonts w:ascii="Times New Roman" w:hAnsi="Times New Roman" w:cs="Times New Roman"/>
        </w:rPr>
        <w:t xml:space="preserve">Det er seks spillere totalt på banen på hvert lag, inkludert målvakt. Dette er fordi vi ønsker at flest mulig skal få mulighet til å være med å spille. </w:t>
      </w:r>
    </w:p>
    <w:p w:rsidR="00D44AF2" w:rsidRPr="00047CF2" w:rsidRDefault="00D44AF2" w:rsidP="009A1B7B">
      <w:pPr>
        <w:spacing w:line="360" w:lineRule="auto"/>
        <w:rPr>
          <w:rFonts w:ascii="Times New Roman" w:hAnsi="Times New Roman" w:cs="Times New Roman"/>
        </w:rPr>
      </w:pPr>
    </w:p>
    <w:p w:rsidR="009A1B7B" w:rsidRPr="00047CF2" w:rsidRDefault="009A1B7B" w:rsidP="009A1B7B">
      <w:pPr>
        <w:spacing w:line="360" w:lineRule="auto"/>
        <w:rPr>
          <w:rFonts w:ascii="Times New Roman" w:hAnsi="Times New Roman" w:cs="Times New Roman"/>
          <w:color w:val="000000" w:themeColor="text1"/>
        </w:rPr>
      </w:pPr>
      <w:r w:rsidRPr="00047CF2">
        <w:rPr>
          <w:rFonts w:ascii="Times New Roman" w:hAnsi="Times New Roman" w:cs="Times New Roman"/>
        </w:rPr>
        <w:t xml:space="preserve">Vi presiserer at </w:t>
      </w:r>
      <w:r w:rsidRPr="00047CF2">
        <w:rPr>
          <w:rFonts w:ascii="Times New Roman" w:hAnsi="Times New Roman" w:cs="Times New Roman"/>
          <w:u w:val="single"/>
        </w:rPr>
        <w:t>alle</w:t>
      </w:r>
      <w:r w:rsidRPr="00047CF2">
        <w:rPr>
          <w:rFonts w:ascii="Times New Roman" w:hAnsi="Times New Roman" w:cs="Times New Roman"/>
        </w:rPr>
        <w:t xml:space="preserve"> spillerne på et lag </w:t>
      </w:r>
      <w:r w:rsidRPr="00047CF2">
        <w:rPr>
          <w:rFonts w:ascii="Times New Roman" w:hAnsi="Times New Roman" w:cs="Times New Roman"/>
          <w:u w:val="single"/>
        </w:rPr>
        <w:t>skal</w:t>
      </w:r>
      <w:r w:rsidRPr="00047CF2">
        <w:rPr>
          <w:rFonts w:ascii="Times New Roman" w:hAnsi="Times New Roman" w:cs="Times New Roman"/>
        </w:rPr>
        <w:t xml:space="preserve"> være medlem av samme politiidrettslag. Evt. må det søkes om dispensasjon for å delta på et annet lag. Søknad sendes til grenleder for innebandy NPI, Christian Svela, </w:t>
      </w:r>
      <w:hyperlink r:id="rId4" w:history="1">
        <w:r w:rsidRPr="00047CF2">
          <w:rPr>
            <w:rStyle w:val="Hyperkobling"/>
            <w:rFonts w:ascii="Times New Roman" w:hAnsi="Times New Roman" w:cs="Times New Roman"/>
          </w:rPr>
          <w:t>christian.svela@politiet.no</w:t>
        </w:r>
      </w:hyperlink>
      <w:r w:rsidRPr="00047CF2">
        <w:rPr>
          <w:rFonts w:ascii="Times New Roman" w:hAnsi="Times New Roman" w:cs="Times New Roman"/>
        </w:rPr>
        <w:t xml:space="preserve">. </w:t>
      </w:r>
      <w:r w:rsidRPr="00047CF2">
        <w:rPr>
          <w:rFonts w:ascii="Times New Roman" w:hAnsi="Times New Roman" w:cs="Times New Roman"/>
          <w:color w:val="000000" w:themeColor="text1"/>
        </w:rPr>
        <w:t xml:space="preserve">Vi håper distriktene ser på muligheten for å stille med flere lag, dersom det er nok spillere. </w:t>
      </w:r>
    </w:p>
    <w:p w:rsidR="00D44AF2" w:rsidRPr="00047CF2" w:rsidRDefault="00D44AF2" w:rsidP="009A1B7B">
      <w:pPr>
        <w:spacing w:line="360" w:lineRule="auto"/>
        <w:rPr>
          <w:rFonts w:ascii="Times New Roman" w:hAnsi="Times New Roman" w:cs="Times New Roman"/>
          <w:color w:val="000000" w:themeColor="text1"/>
        </w:rPr>
      </w:pPr>
    </w:p>
    <w:p w:rsidR="00D44AF2" w:rsidRPr="00047CF2" w:rsidRDefault="00D44AF2"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Alle spillere er selv ansvarlig for forsikring. Hvert lag må før første kamp levere et felles personvernerklæringsskjema (GDPR). </w:t>
      </w:r>
    </w:p>
    <w:p w:rsidR="00D44AF2" w:rsidRPr="00047CF2" w:rsidRDefault="00D44AF2" w:rsidP="009A1B7B">
      <w:pPr>
        <w:spacing w:line="360" w:lineRule="auto"/>
        <w:rPr>
          <w:rFonts w:ascii="Times New Roman" w:hAnsi="Times New Roman" w:cs="Times New Roman"/>
          <w:color w:val="000000" w:themeColor="text1"/>
        </w:rPr>
      </w:pPr>
    </w:p>
    <w:p w:rsidR="00D44AF2" w:rsidRPr="00047CF2" w:rsidRDefault="00D44AF2" w:rsidP="009A1B7B">
      <w:pPr>
        <w:spacing w:line="360" w:lineRule="auto"/>
        <w:rPr>
          <w:rFonts w:ascii="Times New Roman" w:hAnsi="Times New Roman" w:cs="Times New Roman"/>
          <w:b/>
          <w:bCs/>
          <w:color w:val="000000" w:themeColor="text1"/>
          <w:sz w:val="28"/>
          <w:szCs w:val="28"/>
        </w:rPr>
      </w:pPr>
      <w:r w:rsidRPr="00047CF2">
        <w:rPr>
          <w:rFonts w:ascii="Times New Roman" w:hAnsi="Times New Roman" w:cs="Times New Roman"/>
          <w:b/>
          <w:bCs/>
          <w:color w:val="000000" w:themeColor="text1"/>
          <w:sz w:val="28"/>
          <w:szCs w:val="28"/>
        </w:rPr>
        <w:t xml:space="preserve">HVOR: </w:t>
      </w:r>
    </w:p>
    <w:p w:rsidR="00D31524" w:rsidRDefault="00D44AF2"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Kampene spilles i Stavanger </w:t>
      </w:r>
      <w:r w:rsidR="00D31524">
        <w:rPr>
          <w:rFonts w:ascii="Times New Roman" w:hAnsi="Times New Roman" w:cs="Times New Roman"/>
          <w:color w:val="000000" w:themeColor="text1"/>
        </w:rPr>
        <w:t>idrettshall</w:t>
      </w:r>
      <w:r w:rsidRPr="00047CF2">
        <w:rPr>
          <w:rFonts w:ascii="Times New Roman" w:hAnsi="Times New Roman" w:cs="Times New Roman"/>
          <w:color w:val="000000" w:themeColor="text1"/>
        </w:rPr>
        <w:t xml:space="preserve"> på Tjensvoll i Stavanger. Hallen ligger i gangavstand til hotellet.</w:t>
      </w:r>
      <w:r w:rsidR="00D31524">
        <w:rPr>
          <w:rFonts w:ascii="Times New Roman" w:hAnsi="Times New Roman" w:cs="Times New Roman"/>
          <w:color w:val="000000" w:themeColor="text1"/>
        </w:rPr>
        <w:t xml:space="preserve"> Adressen til idrettshallen er: Gunnar </w:t>
      </w:r>
      <w:proofErr w:type="spellStart"/>
      <w:r w:rsidR="00D31524">
        <w:rPr>
          <w:rFonts w:ascii="Times New Roman" w:hAnsi="Times New Roman" w:cs="Times New Roman"/>
          <w:color w:val="000000" w:themeColor="text1"/>
        </w:rPr>
        <w:t>Warebergs</w:t>
      </w:r>
      <w:proofErr w:type="spellEnd"/>
      <w:r w:rsidR="00D31524">
        <w:rPr>
          <w:rFonts w:ascii="Times New Roman" w:hAnsi="Times New Roman" w:cs="Times New Roman"/>
          <w:color w:val="000000" w:themeColor="text1"/>
        </w:rPr>
        <w:t xml:space="preserve"> gate 3. </w:t>
      </w:r>
    </w:p>
    <w:p w:rsidR="00D44AF2"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Kampoppsett og regler vil komme senere. </w:t>
      </w:r>
    </w:p>
    <w:p w:rsidR="009B7983" w:rsidRPr="00047CF2" w:rsidRDefault="009B7983" w:rsidP="009A1B7B">
      <w:pPr>
        <w:spacing w:line="360" w:lineRule="auto"/>
        <w:rPr>
          <w:rFonts w:ascii="Times New Roman" w:hAnsi="Times New Roman" w:cs="Times New Roman"/>
          <w:color w:val="000000" w:themeColor="text1"/>
        </w:rPr>
      </w:pPr>
    </w:p>
    <w:p w:rsidR="009B7983" w:rsidRPr="00047CF2" w:rsidRDefault="009B7983" w:rsidP="009A1B7B">
      <w:pPr>
        <w:spacing w:line="360" w:lineRule="auto"/>
        <w:rPr>
          <w:rFonts w:ascii="Times New Roman" w:hAnsi="Times New Roman" w:cs="Times New Roman"/>
          <w:color w:val="000000" w:themeColor="text1"/>
          <w:sz w:val="28"/>
          <w:szCs w:val="28"/>
        </w:rPr>
      </w:pPr>
      <w:r w:rsidRPr="00047CF2">
        <w:rPr>
          <w:rFonts w:ascii="Times New Roman" w:hAnsi="Times New Roman" w:cs="Times New Roman"/>
          <w:b/>
          <w:bCs/>
          <w:color w:val="000000" w:themeColor="text1"/>
          <w:sz w:val="28"/>
          <w:szCs w:val="28"/>
        </w:rPr>
        <w:t>PÅMELDING:</w:t>
      </w: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Påmelding sendes per mail til </w:t>
      </w:r>
      <w:hyperlink r:id="rId5" w:history="1">
        <w:r w:rsidRPr="00047CF2">
          <w:rPr>
            <w:rStyle w:val="Hyperkobling"/>
            <w:rFonts w:ascii="Times New Roman" w:hAnsi="Times New Roman" w:cs="Times New Roman"/>
          </w:rPr>
          <w:t>arne.sindre.gilje@politiet.no</w:t>
        </w:r>
      </w:hyperlink>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Frist for påmelding er </w:t>
      </w:r>
      <w:r w:rsidRPr="007F2EE7">
        <w:rPr>
          <w:rFonts w:ascii="Times New Roman" w:hAnsi="Times New Roman" w:cs="Times New Roman"/>
        </w:rPr>
        <w:t xml:space="preserve">satt til </w:t>
      </w:r>
      <w:r w:rsidR="007F2EE7" w:rsidRPr="007F2EE7">
        <w:rPr>
          <w:rFonts w:ascii="Times New Roman" w:hAnsi="Times New Roman" w:cs="Times New Roman"/>
        </w:rPr>
        <w:t>5</w:t>
      </w:r>
      <w:r w:rsidRPr="007F2EE7">
        <w:rPr>
          <w:rFonts w:ascii="Times New Roman" w:hAnsi="Times New Roman" w:cs="Times New Roman"/>
        </w:rPr>
        <w:t xml:space="preserve">. oktober 2023. </w:t>
      </w:r>
    </w:p>
    <w:p w:rsidR="009B7983" w:rsidRPr="00047CF2" w:rsidRDefault="009B7983" w:rsidP="009A1B7B">
      <w:pPr>
        <w:spacing w:line="360" w:lineRule="auto"/>
        <w:rPr>
          <w:rFonts w:ascii="Times New Roman" w:hAnsi="Times New Roman" w:cs="Times New Roman"/>
          <w:color w:val="000000" w:themeColor="text1"/>
        </w:rPr>
      </w:pP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Ved påmelding, må det føres på følgende: </w:t>
      </w: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Lagets navn, og kontaktperson med telefonnummer og mailadresse. </w:t>
      </w: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Om distriktet har flere lag, ønskes det en felles påmelding til overnevnte. </w:t>
      </w:r>
    </w:p>
    <w:p w:rsidR="009B7983" w:rsidRPr="00047CF2" w:rsidRDefault="009B7983" w:rsidP="009A1B7B">
      <w:pPr>
        <w:spacing w:line="360" w:lineRule="auto"/>
        <w:rPr>
          <w:rFonts w:ascii="Times New Roman" w:hAnsi="Times New Roman" w:cs="Times New Roman"/>
          <w:color w:val="000000" w:themeColor="text1"/>
        </w:rPr>
      </w:pP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lastRenderedPageBreak/>
        <w:t xml:space="preserve">Ingen lag er å anse som påmeldt </w:t>
      </w:r>
      <w:r w:rsidRPr="007F2EE7">
        <w:rPr>
          <w:rFonts w:ascii="Times New Roman" w:hAnsi="Times New Roman" w:cs="Times New Roman"/>
        </w:rPr>
        <w:t xml:space="preserve">før </w:t>
      </w:r>
      <w:proofErr w:type="spellStart"/>
      <w:r w:rsidRPr="007F2EE7">
        <w:rPr>
          <w:rFonts w:ascii="Times New Roman" w:hAnsi="Times New Roman" w:cs="Times New Roman"/>
        </w:rPr>
        <w:t>startkontigenten</w:t>
      </w:r>
      <w:proofErr w:type="spellEnd"/>
      <w:r w:rsidRPr="007F2EE7">
        <w:rPr>
          <w:rFonts w:ascii="Times New Roman" w:hAnsi="Times New Roman" w:cs="Times New Roman"/>
        </w:rPr>
        <w:t xml:space="preserve"> på 1500</w:t>
      </w:r>
      <w:r w:rsidR="007F2EE7" w:rsidRPr="007F2EE7">
        <w:rPr>
          <w:rFonts w:ascii="Times New Roman" w:hAnsi="Times New Roman" w:cs="Times New Roman"/>
        </w:rPr>
        <w:t xml:space="preserve"> kroner</w:t>
      </w:r>
      <w:r w:rsidRPr="007F2EE7">
        <w:rPr>
          <w:rFonts w:ascii="Times New Roman" w:hAnsi="Times New Roman" w:cs="Times New Roman"/>
        </w:rPr>
        <w:t xml:space="preserve"> per lag </w:t>
      </w:r>
      <w:r w:rsidRPr="00047CF2">
        <w:rPr>
          <w:rFonts w:ascii="Times New Roman" w:hAnsi="Times New Roman" w:cs="Times New Roman"/>
          <w:color w:val="000000" w:themeColor="text1"/>
        </w:rPr>
        <w:t xml:space="preserve">er betalt. Betaling av påmeldingsavgiften skjer til: </w:t>
      </w:r>
    </w:p>
    <w:p w:rsidR="009B7983" w:rsidRPr="00047CF2" w:rsidRDefault="009B7983" w:rsidP="009A1B7B">
      <w:pPr>
        <w:spacing w:line="360" w:lineRule="auto"/>
        <w:rPr>
          <w:rFonts w:ascii="Times New Roman" w:hAnsi="Times New Roman" w:cs="Times New Roman"/>
          <w:color w:val="000000" w:themeColor="text1"/>
        </w:rPr>
      </w:pPr>
    </w:p>
    <w:p w:rsidR="009B7983" w:rsidRPr="00D31524" w:rsidRDefault="009B7983" w:rsidP="009A1B7B">
      <w:pPr>
        <w:spacing w:line="360" w:lineRule="auto"/>
        <w:rPr>
          <w:rFonts w:ascii="Times New Roman" w:hAnsi="Times New Roman" w:cs="Times New Roman"/>
          <w:color w:val="4472C4" w:themeColor="accent1"/>
          <w:sz w:val="28"/>
          <w:szCs w:val="28"/>
        </w:rPr>
      </w:pPr>
      <w:r w:rsidRPr="00D31524">
        <w:rPr>
          <w:rFonts w:ascii="Times New Roman" w:hAnsi="Times New Roman" w:cs="Times New Roman"/>
          <w:color w:val="4472C4" w:themeColor="accent1"/>
          <w:sz w:val="28"/>
          <w:szCs w:val="28"/>
        </w:rPr>
        <w:t xml:space="preserve">Rogaland politidrettslag, kontonummer: </w:t>
      </w:r>
      <w:r w:rsidR="002544EF" w:rsidRPr="00D31524">
        <w:rPr>
          <w:rFonts w:ascii="Times New Roman" w:hAnsi="Times New Roman" w:cs="Times New Roman"/>
          <w:color w:val="4472C4" w:themeColor="accent1"/>
          <w:sz w:val="28"/>
          <w:szCs w:val="28"/>
        </w:rPr>
        <w:t>5412.05.01448</w:t>
      </w:r>
    </w:p>
    <w:p w:rsidR="002544EF" w:rsidRPr="00047CF2" w:rsidRDefault="002544EF"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Merk påmelding med lagnavn. Frist for betaling er lik som påmeldingsfrist. </w:t>
      </w:r>
    </w:p>
    <w:p w:rsidR="00D44AF2" w:rsidRPr="00047CF2" w:rsidRDefault="00D44AF2" w:rsidP="009A1B7B">
      <w:pPr>
        <w:spacing w:line="360" w:lineRule="auto"/>
        <w:rPr>
          <w:rFonts w:ascii="Times New Roman" w:hAnsi="Times New Roman" w:cs="Times New Roman"/>
          <w:color w:val="000000" w:themeColor="text1"/>
        </w:rPr>
      </w:pPr>
    </w:p>
    <w:p w:rsidR="00D44AF2" w:rsidRPr="00047CF2" w:rsidRDefault="00D44AF2" w:rsidP="009A1B7B">
      <w:pPr>
        <w:spacing w:line="360" w:lineRule="auto"/>
        <w:rPr>
          <w:rFonts w:ascii="Times New Roman" w:hAnsi="Times New Roman" w:cs="Times New Roman"/>
          <w:b/>
          <w:bCs/>
          <w:color w:val="000000" w:themeColor="text1"/>
          <w:sz w:val="28"/>
          <w:szCs w:val="28"/>
        </w:rPr>
      </w:pPr>
      <w:r w:rsidRPr="00047CF2">
        <w:rPr>
          <w:rFonts w:ascii="Times New Roman" w:hAnsi="Times New Roman" w:cs="Times New Roman"/>
          <w:b/>
          <w:bCs/>
          <w:color w:val="000000" w:themeColor="text1"/>
          <w:sz w:val="28"/>
          <w:szCs w:val="28"/>
        </w:rPr>
        <w:t xml:space="preserve">OVERNATTING: </w:t>
      </w:r>
    </w:p>
    <w:p w:rsidR="00D44AF2" w:rsidRPr="00047CF2" w:rsidRDefault="00D44AF2"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Det er gjort avtale med Thon Partner Hotel Stavanger Forum. Dette er et stort hotell som ligger rett i nærheten av hallen. Hotellet har adresse Gunnar </w:t>
      </w:r>
      <w:proofErr w:type="spellStart"/>
      <w:r w:rsidRPr="00047CF2">
        <w:rPr>
          <w:rFonts w:ascii="Times New Roman" w:hAnsi="Times New Roman" w:cs="Times New Roman"/>
          <w:color w:val="000000" w:themeColor="text1"/>
        </w:rPr>
        <w:t>Warebergs</w:t>
      </w:r>
      <w:proofErr w:type="spellEnd"/>
      <w:r w:rsidRPr="00047CF2">
        <w:rPr>
          <w:rFonts w:ascii="Times New Roman" w:hAnsi="Times New Roman" w:cs="Times New Roman"/>
          <w:color w:val="000000" w:themeColor="text1"/>
        </w:rPr>
        <w:t xml:space="preserve"> gate 17. </w:t>
      </w:r>
    </w:p>
    <w:p w:rsidR="00D44AF2" w:rsidRPr="00047CF2" w:rsidRDefault="00D44AF2" w:rsidP="009A1B7B">
      <w:pPr>
        <w:spacing w:line="360" w:lineRule="auto"/>
        <w:rPr>
          <w:rFonts w:ascii="Times New Roman" w:hAnsi="Times New Roman" w:cs="Times New Roman"/>
          <w:color w:val="000000" w:themeColor="text1"/>
        </w:rPr>
      </w:pPr>
    </w:p>
    <w:p w:rsidR="00D44AF2" w:rsidRPr="00047CF2" w:rsidRDefault="00D44AF2" w:rsidP="009A1B7B">
      <w:pPr>
        <w:spacing w:line="360" w:lineRule="auto"/>
        <w:rPr>
          <w:rFonts w:ascii="Times New Roman" w:hAnsi="Times New Roman" w:cs="Times New Roman"/>
          <w:b/>
          <w:bCs/>
          <w:color w:val="000000" w:themeColor="text1"/>
        </w:rPr>
      </w:pPr>
      <w:r w:rsidRPr="00047CF2">
        <w:rPr>
          <w:rFonts w:ascii="Times New Roman" w:hAnsi="Times New Roman" w:cs="Times New Roman"/>
          <w:b/>
          <w:bCs/>
          <w:color w:val="000000" w:themeColor="text1"/>
        </w:rPr>
        <w:t xml:space="preserve">Pris per rom per natt inkl. frokost: </w:t>
      </w:r>
    </w:p>
    <w:p w:rsidR="00D44AF2" w:rsidRPr="00047CF2" w:rsidRDefault="00D44AF2"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Enkeltrom </w:t>
      </w:r>
      <w:r w:rsidR="009B7983" w:rsidRPr="00047CF2">
        <w:rPr>
          <w:rFonts w:ascii="Times New Roman" w:hAnsi="Times New Roman" w:cs="Times New Roman"/>
          <w:color w:val="000000" w:themeColor="text1"/>
        </w:rPr>
        <w:tab/>
      </w:r>
      <w:r w:rsidR="009B7983" w:rsidRPr="00047CF2">
        <w:rPr>
          <w:rFonts w:ascii="Times New Roman" w:hAnsi="Times New Roman" w:cs="Times New Roman"/>
          <w:color w:val="000000" w:themeColor="text1"/>
        </w:rPr>
        <w:tab/>
        <w:t>890,-</w:t>
      </w: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Dobbeltrom </w:t>
      </w:r>
      <w:r w:rsidRPr="00047CF2">
        <w:rPr>
          <w:rFonts w:ascii="Times New Roman" w:hAnsi="Times New Roman" w:cs="Times New Roman"/>
          <w:color w:val="000000" w:themeColor="text1"/>
        </w:rPr>
        <w:tab/>
      </w:r>
      <w:r w:rsidR="00D31524">
        <w:rPr>
          <w:rFonts w:ascii="Times New Roman" w:hAnsi="Times New Roman" w:cs="Times New Roman"/>
          <w:color w:val="000000" w:themeColor="text1"/>
        </w:rPr>
        <w:tab/>
      </w:r>
      <w:r w:rsidRPr="00047CF2">
        <w:rPr>
          <w:rFonts w:ascii="Times New Roman" w:hAnsi="Times New Roman" w:cs="Times New Roman"/>
          <w:color w:val="000000" w:themeColor="text1"/>
        </w:rPr>
        <w:t>990,-</w:t>
      </w: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Trippelrom</w:t>
      </w:r>
      <w:r w:rsidRPr="00047CF2">
        <w:rPr>
          <w:rFonts w:ascii="Times New Roman" w:hAnsi="Times New Roman" w:cs="Times New Roman"/>
          <w:color w:val="000000" w:themeColor="text1"/>
        </w:rPr>
        <w:tab/>
      </w:r>
      <w:r w:rsidRPr="00047CF2">
        <w:rPr>
          <w:rFonts w:ascii="Times New Roman" w:hAnsi="Times New Roman" w:cs="Times New Roman"/>
          <w:color w:val="000000" w:themeColor="text1"/>
        </w:rPr>
        <w:tab/>
        <w:t>1190,-</w:t>
      </w:r>
    </w:p>
    <w:p w:rsidR="009B7983" w:rsidRPr="00047CF2" w:rsidRDefault="009B7983" w:rsidP="009A1B7B">
      <w:pPr>
        <w:spacing w:line="360" w:lineRule="auto"/>
        <w:rPr>
          <w:rFonts w:ascii="Times New Roman" w:hAnsi="Times New Roman" w:cs="Times New Roman"/>
          <w:color w:val="000000" w:themeColor="text1"/>
        </w:rPr>
      </w:pPr>
    </w:p>
    <w:p w:rsidR="009B7983" w:rsidRPr="00047CF2" w:rsidRDefault="009B7983" w:rsidP="009A1B7B">
      <w:pPr>
        <w:spacing w:line="360" w:lineRule="auto"/>
        <w:rPr>
          <w:rFonts w:ascii="Times New Roman" w:hAnsi="Times New Roman" w:cs="Times New Roman"/>
          <w:b/>
          <w:bCs/>
          <w:color w:val="000000" w:themeColor="text1"/>
        </w:rPr>
      </w:pPr>
      <w:r w:rsidRPr="00047CF2">
        <w:rPr>
          <w:rFonts w:ascii="Times New Roman" w:hAnsi="Times New Roman" w:cs="Times New Roman"/>
          <w:b/>
          <w:bCs/>
          <w:color w:val="000000" w:themeColor="text1"/>
        </w:rPr>
        <w:t>Rombestilling:</w:t>
      </w:r>
    </w:p>
    <w:p w:rsidR="009B7983" w:rsidRPr="00047CF2" w:rsidRDefault="007F2EE7" w:rsidP="009A1B7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For å booke rom på hotellet må det sendes forespørsel til resepsjonen eller ringe til hotellet. Det må ta opplyses om at man skal være med på politimesterskap i innebandy, og at man booker under politiidrettslaget. Da vil dere få hotellets sportspriser. </w:t>
      </w:r>
    </w:p>
    <w:p w:rsidR="009B7983" w:rsidRPr="00047CF2" w:rsidRDefault="009B7983" w:rsidP="009A1B7B">
      <w:pPr>
        <w:spacing w:line="360" w:lineRule="auto"/>
        <w:rPr>
          <w:rFonts w:ascii="Times New Roman" w:hAnsi="Times New Roman" w:cs="Times New Roman"/>
          <w:color w:val="000000" w:themeColor="text1"/>
        </w:rPr>
      </w:pPr>
    </w:p>
    <w:p w:rsidR="009B7983" w:rsidRPr="00047CF2" w:rsidRDefault="009B7983" w:rsidP="009A1B7B">
      <w:pPr>
        <w:spacing w:line="360" w:lineRule="auto"/>
        <w:rPr>
          <w:rFonts w:ascii="Times New Roman" w:hAnsi="Times New Roman" w:cs="Times New Roman"/>
          <w:b/>
          <w:bCs/>
          <w:color w:val="000000" w:themeColor="text1"/>
        </w:rPr>
      </w:pPr>
      <w:r w:rsidRPr="00047CF2">
        <w:rPr>
          <w:rFonts w:ascii="Times New Roman" w:hAnsi="Times New Roman" w:cs="Times New Roman"/>
          <w:b/>
          <w:bCs/>
          <w:color w:val="000000" w:themeColor="text1"/>
        </w:rPr>
        <w:t xml:space="preserve">Kontaktinfo hotell: </w:t>
      </w: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Thon Hotel Partners Stavanger Forum </w:t>
      </w: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Gunnar </w:t>
      </w:r>
      <w:proofErr w:type="spellStart"/>
      <w:r w:rsidRPr="00047CF2">
        <w:rPr>
          <w:rFonts w:ascii="Times New Roman" w:hAnsi="Times New Roman" w:cs="Times New Roman"/>
          <w:color w:val="000000" w:themeColor="text1"/>
        </w:rPr>
        <w:t>Warebergs</w:t>
      </w:r>
      <w:proofErr w:type="spellEnd"/>
      <w:r w:rsidRPr="00047CF2">
        <w:rPr>
          <w:rFonts w:ascii="Times New Roman" w:hAnsi="Times New Roman" w:cs="Times New Roman"/>
          <w:color w:val="000000" w:themeColor="text1"/>
        </w:rPr>
        <w:t xml:space="preserve"> gate 17, 4021, Stavanger</w:t>
      </w:r>
    </w:p>
    <w:p w:rsidR="009B7983" w:rsidRPr="00047CF2" w:rsidRDefault="009B7983"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Telefon: 51 93 00 00</w:t>
      </w:r>
    </w:p>
    <w:p w:rsidR="009B7983" w:rsidRPr="00047CF2" w:rsidRDefault="009B7983" w:rsidP="009A1B7B">
      <w:pPr>
        <w:spacing w:line="360" w:lineRule="auto"/>
        <w:rPr>
          <w:rFonts w:ascii="Times New Roman" w:hAnsi="Times New Roman" w:cs="Times New Roman"/>
          <w:color w:val="000000" w:themeColor="text1"/>
        </w:rPr>
      </w:pPr>
    </w:p>
    <w:p w:rsidR="007F2EE7" w:rsidRPr="007F2EE7" w:rsidRDefault="009B7983" w:rsidP="009A1B7B">
      <w:pPr>
        <w:spacing w:line="360" w:lineRule="auto"/>
        <w:rPr>
          <w:rFonts w:ascii="Times New Roman" w:hAnsi="Times New Roman" w:cs="Times New Roman"/>
          <w:b/>
          <w:bCs/>
          <w:color w:val="000000" w:themeColor="text1"/>
          <w:sz w:val="28"/>
          <w:szCs w:val="28"/>
        </w:rPr>
      </w:pPr>
      <w:r w:rsidRPr="00047CF2">
        <w:rPr>
          <w:rFonts w:ascii="Times New Roman" w:hAnsi="Times New Roman" w:cs="Times New Roman"/>
          <w:b/>
          <w:bCs/>
          <w:color w:val="000000" w:themeColor="text1"/>
          <w:sz w:val="28"/>
          <w:szCs w:val="28"/>
        </w:rPr>
        <w:t xml:space="preserve">BANKETT: </w:t>
      </w:r>
    </w:p>
    <w:p w:rsidR="00D44AF2" w:rsidRPr="00047CF2" w:rsidRDefault="009B7983" w:rsidP="009A1B7B">
      <w:pPr>
        <w:spacing w:line="360" w:lineRule="auto"/>
        <w:rPr>
          <w:rFonts w:ascii="Times New Roman" w:hAnsi="Times New Roman" w:cs="Times New Roman"/>
          <w:color w:val="FF0000"/>
        </w:rPr>
      </w:pPr>
      <w:r w:rsidRPr="00047CF2">
        <w:rPr>
          <w:rFonts w:ascii="Times New Roman" w:hAnsi="Times New Roman" w:cs="Times New Roman"/>
          <w:color w:val="000000" w:themeColor="text1"/>
        </w:rPr>
        <w:t>Banketten for deltagerne vil bli holdt tirsdag 14.november</w:t>
      </w:r>
      <w:r w:rsidR="007F2EE7">
        <w:rPr>
          <w:rFonts w:ascii="Times New Roman" w:hAnsi="Times New Roman" w:cs="Times New Roman"/>
          <w:color w:val="000000" w:themeColor="text1"/>
        </w:rPr>
        <w:t>. Vi må komme tilbake til sted og pris. Banketten vil avholdet i Stavanger sentrum</w:t>
      </w:r>
      <w:r w:rsidRPr="00047CF2">
        <w:rPr>
          <w:rFonts w:ascii="Times New Roman" w:hAnsi="Times New Roman" w:cs="Times New Roman"/>
          <w:color w:val="000000" w:themeColor="text1"/>
        </w:rPr>
        <w:t xml:space="preserve">. Det går rutebuss rett utenfor hotellet og ned til sentrum. Denne tar ca. 7 minutter ned til sentrum. </w:t>
      </w:r>
    </w:p>
    <w:p w:rsidR="002544EF" w:rsidRPr="00047CF2" w:rsidRDefault="002544EF" w:rsidP="009A1B7B">
      <w:pPr>
        <w:spacing w:line="360" w:lineRule="auto"/>
        <w:rPr>
          <w:rFonts w:ascii="Times New Roman" w:hAnsi="Times New Roman" w:cs="Times New Roman"/>
          <w:color w:val="FF0000"/>
        </w:rPr>
      </w:pPr>
    </w:p>
    <w:p w:rsidR="002544EF" w:rsidRPr="00047CF2" w:rsidRDefault="007F2EE7" w:rsidP="009A1B7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For påmelding til banketten ta kontakt med </w:t>
      </w:r>
      <w:hyperlink r:id="rId6" w:history="1">
        <w:r w:rsidRPr="00CA5838">
          <w:rPr>
            <w:rStyle w:val="Hyperkobling"/>
            <w:rFonts w:ascii="Times New Roman" w:hAnsi="Times New Roman" w:cs="Times New Roman"/>
          </w:rPr>
          <w:t>arne.sindre.gilje@politiet.no</w:t>
        </w:r>
      </w:hyperlink>
      <w:r>
        <w:rPr>
          <w:rFonts w:ascii="Times New Roman" w:hAnsi="Times New Roman" w:cs="Times New Roman"/>
          <w:color w:val="000000" w:themeColor="text1"/>
        </w:rPr>
        <w:t xml:space="preserve">. </w:t>
      </w:r>
      <w:r w:rsidR="002544EF" w:rsidRPr="00047CF2">
        <w:rPr>
          <w:rFonts w:ascii="Times New Roman" w:hAnsi="Times New Roman" w:cs="Times New Roman"/>
          <w:color w:val="000000" w:themeColor="text1"/>
        </w:rPr>
        <w:t xml:space="preserve">Banketten betales som egen betaling og merkes med lagnavn og antall deltagere. </w:t>
      </w:r>
    </w:p>
    <w:p w:rsidR="002544EF" w:rsidRPr="00047CF2" w:rsidRDefault="002544EF" w:rsidP="009A1B7B">
      <w:pPr>
        <w:spacing w:line="360" w:lineRule="auto"/>
        <w:rPr>
          <w:rFonts w:ascii="Times New Roman" w:hAnsi="Times New Roman" w:cs="Times New Roman"/>
          <w:color w:val="000000" w:themeColor="text1"/>
        </w:rPr>
      </w:pPr>
    </w:p>
    <w:p w:rsidR="002544EF" w:rsidRPr="00047CF2" w:rsidRDefault="002544EF" w:rsidP="009A1B7B">
      <w:pPr>
        <w:spacing w:line="360" w:lineRule="auto"/>
        <w:rPr>
          <w:rFonts w:ascii="Times New Roman" w:hAnsi="Times New Roman" w:cs="Times New Roman"/>
          <w:color w:val="000000" w:themeColor="text1"/>
          <w:sz w:val="28"/>
          <w:szCs w:val="28"/>
        </w:rPr>
      </w:pPr>
      <w:r w:rsidRPr="00047CF2">
        <w:rPr>
          <w:rFonts w:ascii="Times New Roman" w:hAnsi="Times New Roman" w:cs="Times New Roman"/>
          <w:b/>
          <w:bCs/>
          <w:color w:val="000000" w:themeColor="text1"/>
          <w:sz w:val="28"/>
          <w:szCs w:val="28"/>
        </w:rPr>
        <w:lastRenderedPageBreak/>
        <w:t>REISEDEKNING:</w:t>
      </w:r>
    </w:p>
    <w:p w:rsidR="002544EF" w:rsidRPr="00047CF2" w:rsidRDefault="002544EF"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PM i innebandy dekkes av </w:t>
      </w:r>
      <w:proofErr w:type="spellStart"/>
      <w:r w:rsidRPr="00047CF2">
        <w:rPr>
          <w:rFonts w:ascii="Times New Roman" w:hAnsi="Times New Roman" w:cs="Times New Roman"/>
          <w:color w:val="000000" w:themeColor="text1"/>
        </w:rPr>
        <w:t>NPI´s</w:t>
      </w:r>
      <w:proofErr w:type="spellEnd"/>
      <w:r w:rsidRPr="00047CF2">
        <w:rPr>
          <w:rFonts w:ascii="Times New Roman" w:hAnsi="Times New Roman" w:cs="Times New Roman"/>
          <w:color w:val="000000" w:themeColor="text1"/>
        </w:rPr>
        <w:t xml:space="preserve"> reisedekning. Viser til </w:t>
      </w:r>
      <w:proofErr w:type="spellStart"/>
      <w:r w:rsidRPr="00047CF2">
        <w:rPr>
          <w:rFonts w:ascii="Times New Roman" w:hAnsi="Times New Roman" w:cs="Times New Roman"/>
          <w:color w:val="000000" w:themeColor="text1"/>
        </w:rPr>
        <w:t>NPI´s</w:t>
      </w:r>
      <w:proofErr w:type="spellEnd"/>
      <w:r w:rsidRPr="00047CF2">
        <w:rPr>
          <w:rFonts w:ascii="Times New Roman" w:hAnsi="Times New Roman" w:cs="Times New Roman"/>
          <w:color w:val="000000" w:themeColor="text1"/>
        </w:rPr>
        <w:t xml:space="preserve"> bestemmelser for reisedekning. </w:t>
      </w:r>
    </w:p>
    <w:p w:rsidR="002544EF" w:rsidRPr="00047CF2" w:rsidRDefault="002544EF" w:rsidP="009A1B7B">
      <w:pPr>
        <w:spacing w:line="360" w:lineRule="auto"/>
        <w:rPr>
          <w:rFonts w:ascii="Times New Roman" w:hAnsi="Times New Roman" w:cs="Times New Roman"/>
          <w:color w:val="000000" w:themeColor="text1"/>
        </w:rPr>
      </w:pPr>
    </w:p>
    <w:p w:rsidR="002544EF" w:rsidRPr="00047CF2" w:rsidRDefault="002544EF" w:rsidP="009A1B7B">
      <w:pPr>
        <w:spacing w:line="360" w:lineRule="auto"/>
        <w:rPr>
          <w:rFonts w:ascii="Times New Roman" w:hAnsi="Times New Roman" w:cs="Times New Roman"/>
          <w:b/>
          <w:bCs/>
          <w:color w:val="000000" w:themeColor="text1"/>
          <w:sz w:val="28"/>
          <w:szCs w:val="28"/>
        </w:rPr>
      </w:pPr>
      <w:r w:rsidRPr="00047CF2">
        <w:rPr>
          <w:rFonts w:ascii="Times New Roman" w:hAnsi="Times New Roman" w:cs="Times New Roman"/>
          <w:b/>
          <w:bCs/>
          <w:color w:val="000000" w:themeColor="text1"/>
          <w:sz w:val="28"/>
          <w:szCs w:val="28"/>
        </w:rPr>
        <w:t xml:space="preserve">FORSIKRING: </w:t>
      </w:r>
    </w:p>
    <w:p w:rsidR="002544EF" w:rsidRPr="00047CF2" w:rsidRDefault="002544EF"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Alle spillerne er selv ansvarlige for forsikring. Ytterlige informasjon, se </w:t>
      </w:r>
      <w:hyperlink r:id="rId7" w:history="1">
        <w:r w:rsidRPr="00047CF2">
          <w:rPr>
            <w:rStyle w:val="Hyperkobling"/>
            <w:rFonts w:ascii="Times New Roman" w:hAnsi="Times New Roman" w:cs="Times New Roman"/>
          </w:rPr>
          <w:t>www.politiidrett.no</w:t>
        </w:r>
      </w:hyperlink>
      <w:r w:rsidRPr="00047CF2">
        <w:rPr>
          <w:rFonts w:ascii="Times New Roman" w:hAnsi="Times New Roman" w:cs="Times New Roman"/>
          <w:color w:val="000000" w:themeColor="text1"/>
        </w:rPr>
        <w:t xml:space="preserve"> under OM NORGES POLITIIDRETT/FORSIKRING. </w:t>
      </w:r>
    </w:p>
    <w:p w:rsidR="002544EF" w:rsidRPr="00047CF2" w:rsidRDefault="002544EF" w:rsidP="009A1B7B">
      <w:pPr>
        <w:spacing w:line="360" w:lineRule="auto"/>
        <w:rPr>
          <w:rFonts w:ascii="Times New Roman" w:hAnsi="Times New Roman" w:cs="Times New Roman"/>
          <w:color w:val="000000" w:themeColor="text1"/>
        </w:rPr>
      </w:pPr>
    </w:p>
    <w:p w:rsidR="002544EF" w:rsidRPr="00047CF2" w:rsidRDefault="002544EF" w:rsidP="009A1B7B">
      <w:pPr>
        <w:spacing w:line="360" w:lineRule="auto"/>
        <w:rPr>
          <w:rFonts w:ascii="Times New Roman" w:hAnsi="Times New Roman" w:cs="Times New Roman"/>
          <w:b/>
          <w:bCs/>
          <w:color w:val="000000" w:themeColor="text1"/>
          <w:sz w:val="28"/>
          <w:szCs w:val="28"/>
        </w:rPr>
      </w:pPr>
      <w:r w:rsidRPr="00047CF2">
        <w:rPr>
          <w:rFonts w:ascii="Times New Roman" w:hAnsi="Times New Roman" w:cs="Times New Roman"/>
          <w:b/>
          <w:bCs/>
          <w:color w:val="000000" w:themeColor="text1"/>
          <w:sz w:val="28"/>
          <w:szCs w:val="28"/>
        </w:rPr>
        <w:t>GDPR:</w:t>
      </w:r>
    </w:p>
    <w:p w:rsidR="002544EF" w:rsidRPr="00047CF2" w:rsidRDefault="002544EF"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Lagene må levere GDPR skjema før første kamp. Her kan de som ønsker seg skjermet i referat, resultater eller bilder på </w:t>
      </w:r>
      <w:proofErr w:type="spellStart"/>
      <w:r w:rsidRPr="00047CF2">
        <w:rPr>
          <w:rFonts w:ascii="Times New Roman" w:hAnsi="Times New Roman" w:cs="Times New Roman"/>
          <w:color w:val="000000" w:themeColor="text1"/>
        </w:rPr>
        <w:t>NPI´s</w:t>
      </w:r>
      <w:proofErr w:type="spellEnd"/>
      <w:r w:rsidRPr="00047CF2">
        <w:rPr>
          <w:rFonts w:ascii="Times New Roman" w:hAnsi="Times New Roman" w:cs="Times New Roman"/>
          <w:color w:val="000000" w:themeColor="text1"/>
        </w:rPr>
        <w:t xml:space="preserve"> hjemmeside </w:t>
      </w:r>
      <w:hyperlink r:id="rId8" w:history="1">
        <w:r w:rsidRPr="00047CF2">
          <w:rPr>
            <w:rStyle w:val="Hyperkobling"/>
            <w:rFonts w:ascii="Times New Roman" w:hAnsi="Times New Roman" w:cs="Times New Roman"/>
          </w:rPr>
          <w:t>www.politiidrett.no</w:t>
        </w:r>
      </w:hyperlink>
      <w:r w:rsidRPr="00047CF2">
        <w:rPr>
          <w:rFonts w:ascii="Times New Roman" w:hAnsi="Times New Roman" w:cs="Times New Roman"/>
          <w:color w:val="000000" w:themeColor="text1"/>
        </w:rPr>
        <w:t xml:space="preserve"> krysse av for dette. Lagt som vedlegg i innbydelsen. </w:t>
      </w:r>
    </w:p>
    <w:p w:rsidR="002544EF" w:rsidRPr="00047CF2" w:rsidRDefault="002544EF" w:rsidP="009A1B7B">
      <w:pPr>
        <w:spacing w:line="360" w:lineRule="auto"/>
        <w:rPr>
          <w:rFonts w:ascii="Times New Roman" w:hAnsi="Times New Roman" w:cs="Times New Roman"/>
          <w:color w:val="000000" w:themeColor="text1"/>
        </w:rPr>
      </w:pPr>
    </w:p>
    <w:p w:rsidR="002544EF" w:rsidRPr="00047CF2" w:rsidRDefault="002544EF" w:rsidP="009A1B7B">
      <w:pPr>
        <w:spacing w:line="360" w:lineRule="auto"/>
        <w:rPr>
          <w:rFonts w:ascii="Times New Roman" w:hAnsi="Times New Roman" w:cs="Times New Roman"/>
          <w:b/>
          <w:bCs/>
          <w:color w:val="000000" w:themeColor="text1"/>
          <w:sz w:val="28"/>
          <w:szCs w:val="28"/>
        </w:rPr>
      </w:pPr>
      <w:r w:rsidRPr="00047CF2">
        <w:rPr>
          <w:rFonts w:ascii="Times New Roman" w:hAnsi="Times New Roman" w:cs="Times New Roman"/>
          <w:b/>
          <w:bCs/>
          <w:color w:val="000000" w:themeColor="text1"/>
          <w:sz w:val="28"/>
          <w:szCs w:val="28"/>
        </w:rPr>
        <w:t xml:space="preserve">TRANSPORT: </w:t>
      </w:r>
    </w:p>
    <w:p w:rsidR="002544EF" w:rsidRPr="00047CF2" w:rsidRDefault="002544EF"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Fra flyplassen går det FLYBUSS direkte til Madlaveien, busstoppet heter «Tjensvollkrysset (Thon Stavanger Forum Hotel)» som er rett utenfor hotellet. Billett bestilles enkelt på </w:t>
      </w:r>
      <w:hyperlink r:id="rId9" w:history="1">
        <w:r w:rsidRPr="00047CF2">
          <w:rPr>
            <w:rStyle w:val="Hyperkobling"/>
            <w:rFonts w:ascii="Times New Roman" w:hAnsi="Times New Roman" w:cs="Times New Roman"/>
          </w:rPr>
          <w:t>www.flybussen.no</w:t>
        </w:r>
      </w:hyperlink>
      <w:r w:rsidRPr="00047CF2">
        <w:rPr>
          <w:rFonts w:ascii="Times New Roman" w:hAnsi="Times New Roman" w:cs="Times New Roman"/>
          <w:color w:val="000000" w:themeColor="text1"/>
        </w:rPr>
        <w:t xml:space="preserve">. </w:t>
      </w:r>
    </w:p>
    <w:p w:rsidR="002544EF" w:rsidRPr="00047CF2" w:rsidRDefault="002544EF" w:rsidP="009A1B7B">
      <w:pPr>
        <w:spacing w:line="360" w:lineRule="auto"/>
        <w:rPr>
          <w:rFonts w:ascii="Times New Roman" w:hAnsi="Times New Roman" w:cs="Times New Roman"/>
          <w:color w:val="000000" w:themeColor="text1"/>
          <w:sz w:val="28"/>
          <w:szCs w:val="28"/>
        </w:rPr>
      </w:pPr>
    </w:p>
    <w:p w:rsidR="002544EF" w:rsidRPr="007F2EE7" w:rsidRDefault="002544EF" w:rsidP="009A1B7B">
      <w:pPr>
        <w:spacing w:line="360" w:lineRule="auto"/>
        <w:rPr>
          <w:rFonts w:ascii="Times New Roman" w:hAnsi="Times New Roman" w:cs="Times New Roman"/>
          <w:b/>
          <w:bCs/>
          <w:sz w:val="28"/>
          <w:szCs w:val="28"/>
        </w:rPr>
      </w:pPr>
      <w:r w:rsidRPr="007F2EE7">
        <w:rPr>
          <w:rFonts w:ascii="Times New Roman" w:hAnsi="Times New Roman" w:cs="Times New Roman"/>
          <w:b/>
          <w:bCs/>
          <w:sz w:val="28"/>
          <w:szCs w:val="28"/>
        </w:rPr>
        <w:t xml:space="preserve">INFORMASJON: </w:t>
      </w:r>
    </w:p>
    <w:p w:rsidR="002544EF" w:rsidRPr="007F2EE7" w:rsidRDefault="002544EF" w:rsidP="009A1B7B">
      <w:pPr>
        <w:spacing w:line="360" w:lineRule="auto"/>
        <w:rPr>
          <w:rFonts w:ascii="Times New Roman" w:hAnsi="Times New Roman" w:cs="Times New Roman"/>
        </w:rPr>
      </w:pPr>
      <w:r w:rsidRPr="007F2EE7">
        <w:rPr>
          <w:rFonts w:ascii="Times New Roman" w:hAnsi="Times New Roman" w:cs="Times New Roman"/>
        </w:rPr>
        <w:t xml:space="preserve">Det er viktig for oss at alle får tilstrekkelig med informasjon og at det finnes en informasjonskanal for raske spørsmål og svar. Når påmeldingsfristen er utløpt, inviterer vi alle lagledere inn på facebook-side eller en </w:t>
      </w:r>
      <w:proofErr w:type="spellStart"/>
      <w:r w:rsidRPr="007F2EE7">
        <w:rPr>
          <w:rFonts w:ascii="Times New Roman" w:hAnsi="Times New Roman" w:cs="Times New Roman"/>
        </w:rPr>
        <w:t>messenger</w:t>
      </w:r>
      <w:proofErr w:type="spellEnd"/>
      <w:r w:rsidRPr="007F2EE7">
        <w:rPr>
          <w:rFonts w:ascii="Times New Roman" w:hAnsi="Times New Roman" w:cs="Times New Roman"/>
        </w:rPr>
        <w:t xml:space="preserve">-gruppe, slik at vi kan kommunisere enkelt og rast. Før denne kanalen er operativ, ikke nøl med å ta kontakt med oss som er nevnt under. </w:t>
      </w:r>
    </w:p>
    <w:p w:rsidR="002544EF" w:rsidRPr="00047CF2" w:rsidRDefault="002544EF" w:rsidP="009A1B7B">
      <w:pPr>
        <w:spacing w:line="360" w:lineRule="auto"/>
        <w:rPr>
          <w:rFonts w:ascii="Times New Roman" w:hAnsi="Times New Roman" w:cs="Times New Roman"/>
          <w:color w:val="000000" w:themeColor="text1"/>
        </w:rPr>
      </w:pPr>
    </w:p>
    <w:p w:rsidR="002544EF" w:rsidRPr="00047CF2" w:rsidRDefault="002544EF" w:rsidP="009A1B7B">
      <w:pPr>
        <w:spacing w:line="360" w:lineRule="auto"/>
        <w:rPr>
          <w:rFonts w:ascii="Times New Roman" w:hAnsi="Times New Roman" w:cs="Times New Roman"/>
          <w:b/>
          <w:bCs/>
          <w:color w:val="000000" w:themeColor="text1"/>
          <w:sz w:val="28"/>
          <w:szCs w:val="28"/>
        </w:rPr>
      </w:pPr>
      <w:r w:rsidRPr="00047CF2">
        <w:rPr>
          <w:rFonts w:ascii="Times New Roman" w:hAnsi="Times New Roman" w:cs="Times New Roman"/>
          <w:b/>
          <w:bCs/>
          <w:color w:val="000000" w:themeColor="text1"/>
          <w:sz w:val="28"/>
          <w:szCs w:val="28"/>
        </w:rPr>
        <w:t xml:space="preserve">KONTAKTPERSONER: </w:t>
      </w:r>
    </w:p>
    <w:p w:rsidR="002544EF" w:rsidRPr="00047CF2" w:rsidRDefault="002544EF"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Arrangørleder: Arne Sindre Gilje, </w:t>
      </w:r>
      <w:hyperlink r:id="rId10" w:history="1">
        <w:r w:rsidRPr="00047CF2">
          <w:rPr>
            <w:rStyle w:val="Hyperkobling"/>
            <w:rFonts w:ascii="Times New Roman" w:hAnsi="Times New Roman" w:cs="Times New Roman"/>
          </w:rPr>
          <w:t>arne.sindre.gilje@politiet.no</w:t>
        </w:r>
      </w:hyperlink>
      <w:r w:rsidRPr="00047CF2">
        <w:rPr>
          <w:rFonts w:ascii="Times New Roman" w:hAnsi="Times New Roman" w:cs="Times New Roman"/>
          <w:color w:val="000000" w:themeColor="text1"/>
        </w:rPr>
        <w:t xml:space="preserve">, </w:t>
      </w:r>
      <w:proofErr w:type="spellStart"/>
      <w:r w:rsidRPr="00047CF2">
        <w:rPr>
          <w:rFonts w:ascii="Times New Roman" w:hAnsi="Times New Roman" w:cs="Times New Roman"/>
          <w:color w:val="000000" w:themeColor="text1"/>
        </w:rPr>
        <w:t>mob</w:t>
      </w:r>
      <w:proofErr w:type="spellEnd"/>
      <w:r w:rsidR="00047CF2" w:rsidRPr="00047CF2">
        <w:rPr>
          <w:rFonts w:ascii="Times New Roman" w:hAnsi="Times New Roman" w:cs="Times New Roman"/>
          <w:color w:val="000000" w:themeColor="text1"/>
        </w:rPr>
        <w:t>:</w:t>
      </w:r>
      <w:r w:rsidRPr="00047CF2">
        <w:rPr>
          <w:rFonts w:ascii="Times New Roman" w:hAnsi="Times New Roman" w:cs="Times New Roman"/>
          <w:color w:val="000000" w:themeColor="text1"/>
        </w:rPr>
        <w:t xml:space="preserve"> </w:t>
      </w:r>
      <w:r w:rsidR="00047CF2" w:rsidRPr="00047CF2">
        <w:rPr>
          <w:rFonts w:ascii="Times New Roman" w:hAnsi="Times New Roman" w:cs="Times New Roman"/>
          <w:color w:val="000000" w:themeColor="text1"/>
        </w:rPr>
        <w:t>916 73 349</w:t>
      </w:r>
    </w:p>
    <w:p w:rsidR="00047CF2" w:rsidRPr="00047CF2" w:rsidRDefault="00047CF2" w:rsidP="009A1B7B">
      <w:pPr>
        <w:spacing w:line="360" w:lineRule="auto"/>
        <w:rPr>
          <w:rFonts w:ascii="Times New Roman" w:hAnsi="Times New Roman" w:cs="Times New Roman"/>
          <w:color w:val="000000" w:themeColor="text1"/>
        </w:rPr>
      </w:pPr>
      <w:r w:rsidRPr="00047CF2">
        <w:rPr>
          <w:rFonts w:ascii="Times New Roman" w:hAnsi="Times New Roman" w:cs="Times New Roman"/>
          <w:color w:val="000000" w:themeColor="text1"/>
        </w:rPr>
        <w:t xml:space="preserve">Grenleder Innebandy Christian Svela, </w:t>
      </w:r>
      <w:proofErr w:type="spellStart"/>
      <w:r w:rsidRPr="00047CF2">
        <w:rPr>
          <w:rFonts w:ascii="Times New Roman" w:hAnsi="Times New Roman" w:cs="Times New Roman"/>
          <w:color w:val="000000" w:themeColor="text1"/>
        </w:rPr>
        <w:t>mob</w:t>
      </w:r>
      <w:proofErr w:type="spellEnd"/>
      <w:r w:rsidRPr="00047CF2">
        <w:rPr>
          <w:rFonts w:ascii="Times New Roman" w:hAnsi="Times New Roman" w:cs="Times New Roman"/>
          <w:color w:val="000000" w:themeColor="text1"/>
        </w:rPr>
        <w:t>:</w:t>
      </w:r>
      <w:r w:rsidR="00D31524">
        <w:rPr>
          <w:rFonts w:ascii="Times New Roman" w:hAnsi="Times New Roman" w:cs="Times New Roman"/>
          <w:color w:val="000000" w:themeColor="text1"/>
        </w:rPr>
        <w:t xml:space="preserve"> 922 24 745.</w:t>
      </w:r>
    </w:p>
    <w:p w:rsidR="00047CF2" w:rsidRDefault="00047CF2" w:rsidP="009A1B7B">
      <w:pPr>
        <w:spacing w:line="360" w:lineRule="auto"/>
        <w:rPr>
          <w:rFonts w:ascii="Times New Roman" w:hAnsi="Times New Roman" w:cs="Times New Roman"/>
          <w:color w:val="000000" w:themeColor="text1"/>
          <w:sz w:val="28"/>
          <w:szCs w:val="28"/>
        </w:rPr>
      </w:pPr>
    </w:p>
    <w:p w:rsidR="00047CF2" w:rsidRDefault="00047CF2" w:rsidP="009A1B7B">
      <w:pPr>
        <w:spacing w:line="360" w:lineRule="auto"/>
        <w:rPr>
          <w:rFonts w:ascii="Times New Roman" w:hAnsi="Times New Roman" w:cs="Times New Roman"/>
          <w:color w:val="000000" w:themeColor="text1"/>
          <w:sz w:val="28"/>
          <w:szCs w:val="28"/>
        </w:rPr>
      </w:pPr>
    </w:p>
    <w:p w:rsidR="00047CF2" w:rsidRPr="00047CF2" w:rsidRDefault="00047CF2" w:rsidP="00047CF2">
      <w:pPr>
        <w:spacing w:line="360" w:lineRule="auto"/>
        <w:jc w:val="center"/>
        <w:rPr>
          <w:rFonts w:ascii="Times New Roman" w:hAnsi="Times New Roman" w:cs="Times New Roman"/>
          <w:color w:val="000000" w:themeColor="text1"/>
          <w:sz w:val="32"/>
          <w:szCs w:val="32"/>
        </w:rPr>
      </w:pPr>
      <w:r w:rsidRPr="00047CF2">
        <w:rPr>
          <w:rFonts w:ascii="Times New Roman" w:hAnsi="Times New Roman" w:cs="Times New Roman"/>
          <w:color w:val="000000" w:themeColor="text1"/>
          <w:sz w:val="32"/>
          <w:szCs w:val="32"/>
        </w:rPr>
        <w:t>VELKOMMEN TIL POLITIMESTERSKAP I INNEBANDY I STAVANGER, SØR-VEST POLITIDISTRIKT 2023</w:t>
      </w:r>
      <w:r>
        <w:rPr>
          <w:rFonts w:ascii="Times New Roman" w:hAnsi="Times New Roman" w:cs="Times New Roman"/>
          <w:color w:val="000000" w:themeColor="text1"/>
          <w:sz w:val="32"/>
          <w:szCs w:val="32"/>
        </w:rPr>
        <w:t>!</w:t>
      </w:r>
    </w:p>
    <w:p w:rsidR="00047CF2" w:rsidRDefault="00047CF2" w:rsidP="00047CF2">
      <w:pPr>
        <w:ind w:left="3540" w:firstLine="708"/>
        <w:rPr>
          <w:b/>
          <w:sz w:val="32"/>
          <w:szCs w:val="32"/>
        </w:rPr>
      </w:pPr>
      <w:r>
        <w:rPr>
          <w:b/>
          <w:sz w:val="32"/>
          <w:szCs w:val="32"/>
        </w:rPr>
        <w:lastRenderedPageBreak/>
        <w:t>GPDR</w:t>
      </w:r>
    </w:p>
    <w:p w:rsidR="00047CF2" w:rsidRPr="0031481F" w:rsidRDefault="00047CF2" w:rsidP="00047CF2">
      <w:pPr>
        <w:jc w:val="center"/>
        <w:rPr>
          <w:b/>
          <w:sz w:val="32"/>
          <w:szCs w:val="32"/>
        </w:rPr>
      </w:pPr>
      <w:r w:rsidRPr="0031481F">
        <w:rPr>
          <w:b/>
          <w:sz w:val="32"/>
          <w:szCs w:val="32"/>
        </w:rPr>
        <w:t xml:space="preserve">Erklæring om bruk av personopplysninger </w:t>
      </w:r>
      <w:r>
        <w:rPr>
          <w:b/>
          <w:sz w:val="32"/>
          <w:szCs w:val="32"/>
        </w:rPr>
        <w:t>i forbindelse med</w:t>
      </w:r>
    </w:p>
    <w:p w:rsidR="00047CF2" w:rsidRPr="0031481F" w:rsidRDefault="00047CF2" w:rsidP="00047CF2">
      <w:pPr>
        <w:jc w:val="center"/>
        <w:rPr>
          <w:b/>
          <w:sz w:val="32"/>
          <w:szCs w:val="32"/>
        </w:rPr>
      </w:pPr>
      <w:proofErr w:type="spellStart"/>
      <w:r w:rsidRPr="0031481F">
        <w:rPr>
          <w:b/>
          <w:sz w:val="32"/>
          <w:szCs w:val="32"/>
        </w:rPr>
        <w:t>NPI’s</w:t>
      </w:r>
      <w:proofErr w:type="spellEnd"/>
      <w:r w:rsidRPr="0031481F">
        <w:rPr>
          <w:b/>
          <w:sz w:val="32"/>
          <w:szCs w:val="32"/>
        </w:rPr>
        <w:t xml:space="preserve"> Politimesterskap</w:t>
      </w:r>
    </w:p>
    <w:p w:rsidR="00047CF2" w:rsidRDefault="00047CF2" w:rsidP="00047CF2"/>
    <w:tbl>
      <w:tblPr>
        <w:tblW w:w="0" w:type="auto"/>
        <w:tblCellMar>
          <w:left w:w="0" w:type="dxa"/>
          <w:right w:w="0" w:type="dxa"/>
        </w:tblCellMar>
        <w:tblLook w:val="04A0" w:firstRow="1" w:lastRow="0" w:firstColumn="1" w:lastColumn="0" w:noHBand="0" w:noVBand="1"/>
      </w:tblPr>
      <w:tblGrid>
        <w:gridCol w:w="2094"/>
        <w:gridCol w:w="6978"/>
      </w:tblGrid>
      <w:tr w:rsidR="00047CF2" w:rsidRPr="003C5E7A" w:rsidTr="009078FE">
        <w:trPr>
          <w:cantSplit/>
          <w:trHeight w:val="560"/>
        </w:trPr>
        <w:tc>
          <w:tcPr>
            <w:tcW w:w="1418" w:type="dxa"/>
            <w:shd w:val="clear" w:color="auto" w:fill="auto"/>
            <w:vAlign w:val="bottom"/>
          </w:tcPr>
          <w:p w:rsidR="00047CF2" w:rsidRDefault="00047CF2" w:rsidP="009078FE">
            <w:pPr>
              <w:pStyle w:val="ITEHaeader1"/>
              <w:jc w:val="right"/>
              <w:rPr>
                <w:b w:val="0"/>
                <w:color w:val="auto"/>
                <w:sz w:val="24"/>
                <w:szCs w:val="24"/>
                <w:u w:val="none"/>
              </w:rPr>
            </w:pPr>
            <w:r>
              <w:rPr>
                <w:b w:val="0"/>
                <w:color w:val="auto"/>
                <w:sz w:val="24"/>
                <w:szCs w:val="24"/>
                <w:u w:val="none"/>
              </w:rPr>
              <w:t>Politiidrettslag:</w:t>
            </w:r>
          </w:p>
        </w:tc>
        <w:tc>
          <w:tcPr>
            <w:tcW w:w="7082" w:type="dxa"/>
            <w:tcBorders>
              <w:bottom w:val="single" w:sz="4" w:space="0" w:color="auto"/>
            </w:tcBorders>
            <w:shd w:val="clear" w:color="auto" w:fill="auto"/>
            <w:vAlign w:val="bottom"/>
          </w:tcPr>
          <w:p w:rsidR="00047CF2" w:rsidRDefault="00047CF2" w:rsidP="009078FE">
            <w:pPr>
              <w:pStyle w:val="ITEHaeader1"/>
              <w:ind w:left="147"/>
              <w:jc w:val="right"/>
              <w:rPr>
                <w:color w:val="auto"/>
                <w:sz w:val="24"/>
                <w:szCs w:val="24"/>
                <w:u w:val="none"/>
              </w:rPr>
            </w:pPr>
          </w:p>
        </w:tc>
      </w:tr>
      <w:tr w:rsidR="00047CF2" w:rsidRPr="003C5E7A" w:rsidTr="009078FE">
        <w:trPr>
          <w:cantSplit/>
          <w:trHeight w:val="560"/>
        </w:trPr>
        <w:tc>
          <w:tcPr>
            <w:tcW w:w="1418" w:type="dxa"/>
            <w:shd w:val="clear" w:color="auto" w:fill="auto"/>
            <w:vAlign w:val="bottom"/>
          </w:tcPr>
          <w:p w:rsidR="00047CF2" w:rsidRDefault="00047CF2" w:rsidP="009078FE">
            <w:pPr>
              <w:pStyle w:val="ITEHaeader1"/>
              <w:jc w:val="right"/>
              <w:rPr>
                <w:color w:val="auto"/>
                <w:sz w:val="24"/>
                <w:szCs w:val="24"/>
                <w:u w:val="none"/>
              </w:rPr>
            </w:pPr>
            <w:proofErr w:type="spellStart"/>
            <w:r>
              <w:rPr>
                <w:b w:val="0"/>
                <w:color w:val="auto"/>
                <w:sz w:val="24"/>
                <w:szCs w:val="24"/>
                <w:u w:val="none"/>
              </w:rPr>
              <w:t>Politimesterskap</w:t>
            </w:r>
            <w:proofErr w:type="spellEnd"/>
            <w:r>
              <w:rPr>
                <w:b w:val="0"/>
                <w:color w:val="auto"/>
                <w:sz w:val="24"/>
                <w:szCs w:val="24"/>
                <w:u w:val="none"/>
              </w:rPr>
              <w:t>:</w:t>
            </w:r>
          </w:p>
        </w:tc>
        <w:tc>
          <w:tcPr>
            <w:tcW w:w="7082" w:type="dxa"/>
            <w:tcBorders>
              <w:top w:val="single" w:sz="4" w:space="0" w:color="auto"/>
              <w:bottom w:val="single" w:sz="4" w:space="0" w:color="auto"/>
            </w:tcBorders>
            <w:shd w:val="clear" w:color="auto" w:fill="auto"/>
            <w:vAlign w:val="bottom"/>
          </w:tcPr>
          <w:p w:rsidR="00047CF2" w:rsidRDefault="00047CF2" w:rsidP="009078FE">
            <w:pPr>
              <w:pStyle w:val="ITEHaeader1"/>
              <w:ind w:left="147"/>
              <w:jc w:val="right"/>
              <w:rPr>
                <w:color w:val="auto"/>
                <w:sz w:val="24"/>
                <w:szCs w:val="24"/>
                <w:u w:val="none"/>
              </w:rPr>
            </w:pPr>
          </w:p>
        </w:tc>
      </w:tr>
    </w:tbl>
    <w:p w:rsidR="00047CF2" w:rsidRDefault="00047CF2" w:rsidP="00047CF2"/>
    <w:p w:rsidR="00047CF2" w:rsidRDefault="00047CF2" w:rsidP="00047CF2"/>
    <w:p w:rsidR="00047CF2" w:rsidRDefault="00047CF2" w:rsidP="00047CF2">
      <w:r>
        <w:t>"Jeg godkjenner herved at mine personlige opplysninger (samlet av den respektive medlemsforening) blir registrert, lagret, behandlet og utnyttet i den grad det kan være absolutt nødvendig og utelukkende med henblikk på administrativ behandling, samt eventuell kommunikasjon og informasjon innenfor rammen av ovennevnte Politimesterskap.</w:t>
      </w:r>
    </w:p>
    <w:p w:rsidR="00047CF2" w:rsidRDefault="00047CF2" w:rsidP="00047CF2">
      <w:r>
        <w:t xml:space="preserve">Videre gir jeg herved mitt samtykke til at mine personlige data blir overført til Norges Politiidrettsforbund (NPI) og arrangøren av dette PM. </w:t>
      </w:r>
    </w:p>
    <w:p w:rsidR="00047CF2" w:rsidRDefault="00047CF2" w:rsidP="00047CF2"/>
    <w:p w:rsidR="00047CF2" w:rsidRDefault="00047CF2" w:rsidP="00047CF2">
      <w:r>
        <w:t>Jeg er også enig i at mine personopplysninger (navn, politiidrettslag og resultat) blir offentlig tilgjengelig på Facebook, internett eller i publikasjoner utgitt av NPI og dets medlemsforeninger. </w:t>
      </w:r>
    </w:p>
    <w:p w:rsidR="00047CF2" w:rsidRDefault="00047CF2" w:rsidP="00047CF2">
      <w:r>
        <w:t>Jeg er også enig i at fotografier / filmopptak som er tatt før, under og etter arrangementet, kan brukes av NPI.</w:t>
      </w:r>
    </w:p>
    <w:p w:rsidR="00047CF2" w:rsidRPr="00856F45" w:rsidRDefault="00047CF2" w:rsidP="00047CF2">
      <w:pPr>
        <w:rPr>
          <w:b/>
        </w:rPr>
      </w:pPr>
      <w:r w:rsidRPr="00856F45">
        <w:rPr>
          <w:b/>
        </w:rPr>
        <w:t xml:space="preserve">Hvis jeg ikke ønsker </w:t>
      </w:r>
      <w:r>
        <w:rPr>
          <w:b/>
        </w:rPr>
        <w:t>personopplysninger/foto/film</w:t>
      </w:r>
      <w:r w:rsidRPr="00856F45">
        <w:rPr>
          <w:b/>
        </w:rPr>
        <w:t xml:space="preserve"> offentlig tilgjengelig, tar jeg forbehold om dette under.</w:t>
      </w:r>
    </w:p>
    <w:p w:rsidR="00047CF2" w:rsidRDefault="00047CF2" w:rsidP="00047CF2"/>
    <w:p w:rsidR="00047CF2" w:rsidRPr="00ED6B97" w:rsidRDefault="00047CF2" w:rsidP="00047CF2">
      <w:pPr>
        <w:jc w:val="both"/>
        <w:rPr>
          <w:rFonts w:ascii="Verdana" w:hAnsi="Verdana"/>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709"/>
        <w:gridCol w:w="1276"/>
        <w:gridCol w:w="3402"/>
      </w:tblGrid>
      <w:tr w:rsidR="00047CF2" w:rsidRPr="00E571B9" w:rsidTr="009078FE">
        <w:trPr>
          <w:trHeight w:val="340"/>
        </w:trPr>
        <w:tc>
          <w:tcPr>
            <w:tcW w:w="2268" w:type="dxa"/>
            <w:shd w:val="clear" w:color="auto" w:fill="auto"/>
            <w:vAlign w:val="center"/>
          </w:tcPr>
          <w:p w:rsidR="00047CF2" w:rsidRDefault="00047CF2" w:rsidP="009078FE">
            <w:pPr>
              <w:pStyle w:val="ItEStandard"/>
              <w:jc w:val="center"/>
              <w:rPr>
                <w:b/>
                <w:color w:val="auto"/>
                <w:sz w:val="18"/>
                <w:szCs w:val="18"/>
                <w:lang w:val="en-GB"/>
              </w:rPr>
            </w:pPr>
            <w:proofErr w:type="spellStart"/>
            <w:r>
              <w:rPr>
                <w:b/>
                <w:color w:val="auto"/>
                <w:sz w:val="18"/>
                <w:szCs w:val="18"/>
                <w:lang w:val="en-GB"/>
              </w:rPr>
              <w:t>Fornavn</w:t>
            </w:r>
            <w:proofErr w:type="spellEnd"/>
          </w:p>
        </w:tc>
        <w:tc>
          <w:tcPr>
            <w:tcW w:w="2268" w:type="dxa"/>
            <w:shd w:val="clear" w:color="auto" w:fill="auto"/>
            <w:vAlign w:val="center"/>
          </w:tcPr>
          <w:p w:rsidR="00047CF2" w:rsidRDefault="00047CF2" w:rsidP="009078FE">
            <w:pPr>
              <w:pStyle w:val="ItEStandard"/>
              <w:jc w:val="center"/>
              <w:rPr>
                <w:b/>
                <w:color w:val="auto"/>
                <w:sz w:val="18"/>
                <w:szCs w:val="18"/>
                <w:lang w:val="en-GB"/>
              </w:rPr>
            </w:pPr>
            <w:proofErr w:type="spellStart"/>
            <w:r>
              <w:rPr>
                <w:b/>
                <w:color w:val="auto"/>
                <w:sz w:val="18"/>
                <w:szCs w:val="18"/>
                <w:lang w:val="en-GB"/>
              </w:rPr>
              <w:t>Etternavn</w:t>
            </w:r>
            <w:proofErr w:type="spellEnd"/>
          </w:p>
        </w:tc>
        <w:tc>
          <w:tcPr>
            <w:tcW w:w="709" w:type="dxa"/>
            <w:shd w:val="clear" w:color="auto" w:fill="auto"/>
            <w:vAlign w:val="center"/>
          </w:tcPr>
          <w:p w:rsidR="00047CF2" w:rsidRDefault="00047CF2" w:rsidP="009078FE">
            <w:pPr>
              <w:pStyle w:val="ItEStandard"/>
              <w:jc w:val="center"/>
              <w:rPr>
                <w:b/>
                <w:color w:val="auto"/>
                <w:sz w:val="18"/>
                <w:szCs w:val="18"/>
                <w:lang w:val="en-GB"/>
              </w:rPr>
            </w:pPr>
            <w:r>
              <w:rPr>
                <w:b/>
                <w:color w:val="auto"/>
                <w:sz w:val="18"/>
                <w:szCs w:val="18"/>
                <w:lang w:val="en-GB"/>
              </w:rPr>
              <w:t xml:space="preserve">Dato </w:t>
            </w:r>
          </w:p>
        </w:tc>
        <w:tc>
          <w:tcPr>
            <w:tcW w:w="1276" w:type="dxa"/>
            <w:shd w:val="clear" w:color="auto" w:fill="auto"/>
          </w:tcPr>
          <w:p w:rsidR="00047CF2" w:rsidRDefault="00047CF2" w:rsidP="009078FE">
            <w:pPr>
              <w:pStyle w:val="ItEStandard"/>
              <w:jc w:val="center"/>
              <w:rPr>
                <w:b/>
                <w:color w:val="auto"/>
                <w:sz w:val="18"/>
                <w:szCs w:val="18"/>
                <w:lang w:val="en-GB"/>
              </w:rPr>
            </w:pPr>
            <w:proofErr w:type="spellStart"/>
            <w:r>
              <w:rPr>
                <w:b/>
                <w:color w:val="auto"/>
                <w:sz w:val="18"/>
                <w:szCs w:val="18"/>
                <w:lang w:val="en-GB"/>
              </w:rPr>
              <w:t>Forbehold</w:t>
            </w:r>
            <w:proofErr w:type="spellEnd"/>
            <w:r>
              <w:rPr>
                <w:b/>
                <w:color w:val="auto"/>
                <w:sz w:val="18"/>
                <w:szCs w:val="18"/>
                <w:lang w:val="en-GB"/>
              </w:rPr>
              <w:t xml:space="preserve"> </w:t>
            </w:r>
            <w:proofErr w:type="spellStart"/>
            <w:r>
              <w:rPr>
                <w:b/>
                <w:color w:val="auto"/>
                <w:sz w:val="18"/>
                <w:szCs w:val="18"/>
                <w:lang w:val="en-GB"/>
              </w:rPr>
              <w:t>offentlig</w:t>
            </w:r>
            <w:proofErr w:type="spellEnd"/>
          </w:p>
        </w:tc>
        <w:tc>
          <w:tcPr>
            <w:tcW w:w="3402" w:type="dxa"/>
            <w:shd w:val="clear" w:color="auto" w:fill="auto"/>
            <w:vAlign w:val="center"/>
          </w:tcPr>
          <w:p w:rsidR="00047CF2" w:rsidRDefault="00047CF2" w:rsidP="009078FE">
            <w:pPr>
              <w:pStyle w:val="ItEStandard"/>
              <w:jc w:val="center"/>
              <w:rPr>
                <w:b/>
                <w:color w:val="auto"/>
                <w:sz w:val="18"/>
                <w:szCs w:val="18"/>
                <w:lang w:val="en-GB"/>
              </w:rPr>
            </w:pPr>
            <w:r>
              <w:rPr>
                <w:b/>
                <w:color w:val="auto"/>
                <w:sz w:val="18"/>
                <w:szCs w:val="18"/>
                <w:lang w:val="en-GB"/>
              </w:rPr>
              <w:t>Sign</w:t>
            </w: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r w:rsidR="00047CF2" w:rsidRPr="00E571B9" w:rsidTr="009078FE">
        <w:trPr>
          <w:trHeight w:val="340"/>
        </w:trPr>
        <w:tc>
          <w:tcPr>
            <w:tcW w:w="2268" w:type="dxa"/>
            <w:shd w:val="clear" w:color="auto" w:fill="auto"/>
          </w:tcPr>
          <w:p w:rsidR="00047CF2" w:rsidRDefault="00047CF2" w:rsidP="009078FE">
            <w:pPr>
              <w:pStyle w:val="ItEStandard"/>
              <w:rPr>
                <w:color w:val="auto"/>
                <w:lang w:val="en-GB"/>
              </w:rPr>
            </w:pPr>
          </w:p>
        </w:tc>
        <w:tc>
          <w:tcPr>
            <w:tcW w:w="2268" w:type="dxa"/>
            <w:shd w:val="clear" w:color="auto" w:fill="auto"/>
          </w:tcPr>
          <w:p w:rsidR="00047CF2" w:rsidRDefault="00047CF2" w:rsidP="009078FE">
            <w:pPr>
              <w:pStyle w:val="ItEStandard"/>
              <w:rPr>
                <w:color w:val="auto"/>
                <w:lang w:val="en-GB"/>
              </w:rPr>
            </w:pPr>
          </w:p>
        </w:tc>
        <w:tc>
          <w:tcPr>
            <w:tcW w:w="709" w:type="dxa"/>
            <w:shd w:val="clear" w:color="auto" w:fill="auto"/>
          </w:tcPr>
          <w:p w:rsidR="00047CF2" w:rsidRDefault="00047CF2" w:rsidP="009078FE">
            <w:pPr>
              <w:pStyle w:val="ItEStandard"/>
              <w:rPr>
                <w:color w:val="auto"/>
                <w:lang w:val="en-GB"/>
              </w:rPr>
            </w:pPr>
          </w:p>
        </w:tc>
        <w:tc>
          <w:tcPr>
            <w:tcW w:w="1276" w:type="dxa"/>
            <w:shd w:val="clear" w:color="auto" w:fill="auto"/>
          </w:tcPr>
          <w:p w:rsidR="00047CF2" w:rsidRDefault="00047CF2" w:rsidP="009078FE">
            <w:pPr>
              <w:pStyle w:val="ItEStandard"/>
              <w:rPr>
                <w:color w:val="auto"/>
                <w:lang w:val="en-GB"/>
              </w:rPr>
            </w:pPr>
          </w:p>
        </w:tc>
        <w:tc>
          <w:tcPr>
            <w:tcW w:w="3402" w:type="dxa"/>
            <w:shd w:val="clear" w:color="auto" w:fill="auto"/>
          </w:tcPr>
          <w:p w:rsidR="00047CF2" w:rsidRDefault="00047CF2" w:rsidP="009078FE">
            <w:pPr>
              <w:pStyle w:val="ItEStandard"/>
              <w:rPr>
                <w:color w:val="auto"/>
                <w:lang w:val="en-GB"/>
              </w:rPr>
            </w:pPr>
          </w:p>
        </w:tc>
      </w:tr>
    </w:tbl>
    <w:p w:rsidR="00D44AF2" w:rsidRPr="009A1B7B" w:rsidRDefault="00D44AF2" w:rsidP="00066012">
      <w:pPr>
        <w:spacing w:line="360" w:lineRule="auto"/>
        <w:rPr>
          <w:rFonts w:ascii="Times New Roman" w:hAnsi="Times New Roman" w:cs="Times New Roman"/>
          <w:color w:val="000000" w:themeColor="text1"/>
          <w:sz w:val="28"/>
          <w:szCs w:val="28"/>
        </w:rPr>
      </w:pPr>
    </w:p>
    <w:sectPr w:rsidR="00D44AF2" w:rsidRPr="009A1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7B"/>
    <w:rsid w:val="00047CF2"/>
    <w:rsid w:val="00066012"/>
    <w:rsid w:val="002544EF"/>
    <w:rsid w:val="007F2EE7"/>
    <w:rsid w:val="009A1B7B"/>
    <w:rsid w:val="009B7983"/>
    <w:rsid w:val="00D31524"/>
    <w:rsid w:val="00D44A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2F2D"/>
  <w15:chartTrackingRefBased/>
  <w15:docId w15:val="{A4C329A5-6AFE-FD47-8E84-BD55F2B8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47C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A1B7B"/>
    <w:rPr>
      <w:color w:val="0563C1" w:themeColor="hyperlink"/>
      <w:u w:val="single"/>
    </w:rPr>
  </w:style>
  <w:style w:type="character" w:styleId="Ulstomtale">
    <w:name w:val="Unresolved Mention"/>
    <w:basedOn w:val="Standardskriftforavsnitt"/>
    <w:uiPriority w:val="99"/>
    <w:semiHidden/>
    <w:unhideWhenUsed/>
    <w:rsid w:val="009A1B7B"/>
    <w:rPr>
      <w:color w:val="605E5C"/>
      <w:shd w:val="clear" w:color="auto" w:fill="E1DFDD"/>
    </w:rPr>
  </w:style>
  <w:style w:type="paragraph" w:customStyle="1" w:styleId="ITEHaeader1">
    <w:name w:val="ITE Haeader1"/>
    <w:basedOn w:val="Overskrift1"/>
    <w:link w:val="ITEHaeader1Zchn"/>
    <w:qFormat/>
    <w:rsid w:val="00047CF2"/>
    <w:pPr>
      <w:spacing w:before="0" w:after="120"/>
      <w:jc w:val="center"/>
    </w:pPr>
    <w:rPr>
      <w:rFonts w:ascii="Verdana" w:eastAsia="Times New Roman" w:hAnsi="Verdana" w:cs="Times New Roman"/>
      <w:b/>
      <w:color w:val="1F3864"/>
      <w:u w:val="single"/>
      <w:lang w:val="en-GB" w:eastAsia="de-DE"/>
    </w:rPr>
  </w:style>
  <w:style w:type="character" w:customStyle="1" w:styleId="ITEHaeader1Zchn">
    <w:name w:val="ITE Haeader1 Zchn"/>
    <w:link w:val="ITEHaeader1"/>
    <w:rsid w:val="00047CF2"/>
    <w:rPr>
      <w:rFonts w:ascii="Verdana" w:eastAsia="Times New Roman" w:hAnsi="Verdana" w:cs="Times New Roman"/>
      <w:b/>
      <w:color w:val="1F3864"/>
      <w:sz w:val="32"/>
      <w:szCs w:val="32"/>
      <w:u w:val="single"/>
      <w:lang w:val="en-GB" w:eastAsia="de-DE"/>
    </w:rPr>
  </w:style>
  <w:style w:type="paragraph" w:customStyle="1" w:styleId="ItEStandard">
    <w:name w:val="ItE Standard"/>
    <w:basedOn w:val="Normal"/>
    <w:link w:val="ItEStandardZchn"/>
    <w:qFormat/>
    <w:rsid w:val="00047CF2"/>
    <w:pPr>
      <w:widowControl w:val="0"/>
      <w:jc w:val="both"/>
    </w:pPr>
    <w:rPr>
      <w:rFonts w:ascii="Verdana" w:eastAsia="Times New Roman" w:hAnsi="Verdana" w:cs="Times New Roman"/>
      <w:color w:val="1F3864"/>
      <w:szCs w:val="20"/>
      <w:lang w:val="en-US"/>
    </w:rPr>
  </w:style>
  <w:style w:type="character" w:customStyle="1" w:styleId="ItEStandardZchn">
    <w:name w:val="ItE Standard Zchn"/>
    <w:link w:val="ItEStandard"/>
    <w:rsid w:val="00047CF2"/>
    <w:rPr>
      <w:rFonts w:ascii="Verdana" w:eastAsia="Times New Roman" w:hAnsi="Verdana" w:cs="Times New Roman"/>
      <w:color w:val="1F3864"/>
      <w:szCs w:val="20"/>
      <w:lang w:val="en-US"/>
    </w:rPr>
  </w:style>
  <w:style w:type="character" w:customStyle="1" w:styleId="Overskrift1Tegn">
    <w:name w:val="Overskrift 1 Tegn"/>
    <w:basedOn w:val="Standardskriftforavsnitt"/>
    <w:link w:val="Overskrift1"/>
    <w:uiPriority w:val="9"/>
    <w:rsid w:val="00047C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idrett.no" TargetMode="External"/><Relationship Id="rId3" Type="http://schemas.openxmlformats.org/officeDocument/2006/relationships/webSettings" Target="webSettings.xml"/><Relationship Id="rId7" Type="http://schemas.openxmlformats.org/officeDocument/2006/relationships/hyperlink" Target="http://www.politiidrett.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ne.sindre.gilje@politiet.no" TargetMode="External"/><Relationship Id="rId11" Type="http://schemas.openxmlformats.org/officeDocument/2006/relationships/fontTable" Target="fontTable.xml"/><Relationship Id="rId5" Type="http://schemas.openxmlformats.org/officeDocument/2006/relationships/hyperlink" Target="mailto:arne.sindre.gilje@politiet.no" TargetMode="External"/><Relationship Id="rId10" Type="http://schemas.openxmlformats.org/officeDocument/2006/relationships/hyperlink" Target="mailto:arne.sindre.gilje@politiet.no" TargetMode="External"/><Relationship Id="rId4" Type="http://schemas.openxmlformats.org/officeDocument/2006/relationships/hyperlink" Target="mailto:christian.svela@politiet.no" TargetMode="External"/><Relationship Id="rId9" Type="http://schemas.openxmlformats.org/officeDocument/2006/relationships/hyperlink" Target="http://www.flybuss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4707</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Majlen Lunde Johansen</dc:creator>
  <cp:keywords/>
  <dc:description/>
  <cp:lastModifiedBy>Per O Nordli</cp:lastModifiedBy>
  <cp:revision>2</cp:revision>
  <dcterms:created xsi:type="dcterms:W3CDTF">2023-08-30T11:06:00Z</dcterms:created>
  <dcterms:modified xsi:type="dcterms:W3CDTF">2023-08-30T11:06:00Z</dcterms:modified>
</cp:coreProperties>
</file>